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A212C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ГОГОЛЯ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996E91">
            <w:r>
              <w:t>31.03.2020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996E91">
            <w:r>
              <w:t>01.01.2019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996E91">
            <w:r>
              <w:t>31.12.2019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996E91" w:rsidP="00996E91">
            <w:r>
              <w:t>-75592</w:t>
            </w:r>
            <w:r w:rsidR="00B75D09">
              <w:t>,</w:t>
            </w:r>
            <w:r>
              <w:t>73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996E91" w:rsidP="00996E91">
            <w:r>
              <w:t>-48164</w:t>
            </w:r>
            <w:r w:rsidR="00B75D09">
              <w:t>,</w:t>
            </w:r>
            <w:r>
              <w:t>73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996E91" w:rsidP="00996E91">
            <w:r>
              <w:t>113928</w:t>
            </w:r>
            <w:r w:rsidR="00B75D09">
              <w:t>,</w:t>
            </w:r>
            <w:r>
              <w:t>54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996E91" w:rsidP="00996E91">
            <w:r>
              <w:t>109871</w:t>
            </w:r>
            <w:r w:rsidR="00B75D09">
              <w:t>,</w:t>
            </w:r>
            <w:r>
              <w:t>21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B75D09" w:rsidP="008245BC">
            <w:r>
              <w:t>4057,33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93716A" w:rsidP="0093716A">
            <w:r>
              <w:t>75330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93716A" w:rsidP="0093716A">
            <w:r>
              <w:t>75330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93716A" w:rsidP="0093716A">
            <w:r>
              <w:t>75330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93716A" w:rsidP="0093716A">
            <w:r>
              <w:t>-117357</w:t>
            </w:r>
            <w:r w:rsidR="00F6521C">
              <w:t>,</w:t>
            </w:r>
            <w:r>
              <w:t>27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93716A" w:rsidP="0093716A">
            <w:r>
              <w:t>-86763</w:t>
            </w:r>
            <w:r w:rsidR="00F6521C">
              <w:t>,</w:t>
            </w:r>
            <w:r>
              <w:t>27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74497" w:rsidP="00613536">
            <w:r>
              <w:t>21122,90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93716A" w:rsidP="002A5D3F">
            <w:r>
              <w:t>Валка аварийного дерева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93716A" w:rsidP="0093716A">
            <w:r>
              <w:t>8500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74497" w:rsidP="00BF0A1A">
            <w:r>
              <w:t>12264,91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74497" w:rsidP="00226566">
            <w:r>
              <w:t>619,44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74497" w:rsidP="00226566">
            <w:r>
              <w:t>1982,21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74497" w:rsidP="000D3593">
            <w:r>
              <w:t>16724,88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74497" w:rsidP="00613536">
            <w:r>
              <w:t>20875,13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93716A" w:rsidP="00972C32">
            <w:r>
              <w:t xml:space="preserve">Монтаж </w:t>
            </w:r>
            <w:proofErr w:type="spellStart"/>
            <w:r>
              <w:t>прогревочного</w:t>
            </w:r>
            <w:proofErr w:type="spellEnd"/>
            <w:r>
              <w:t xml:space="preserve"> кабеля розлива ХВС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93716A" w:rsidP="0093716A">
            <w:r>
              <w:t>12000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93716A" w:rsidP="0093716A">
            <w:pPr>
              <w:tabs>
                <w:tab w:val="center" w:pos="2015"/>
              </w:tabs>
            </w:pPr>
            <w:r>
              <w:t>Монтаж замка, запрос сведений из ЕГРН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93716A" w:rsidP="0093716A">
            <w:r>
              <w:t>566</w:t>
            </w:r>
            <w:r w:rsidR="00F445AB" w:rsidRPr="00E701DE">
              <w:t xml:space="preserve"> руб.</w:t>
            </w:r>
          </w:p>
        </w:tc>
      </w:tr>
      <w:tr w:rsidR="00727784" w:rsidTr="00BF2FA6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819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972C32" w:rsidP="00B64021">
            <w:r>
              <w:t>Очистка крыши от снега наледи и сосул</w:t>
            </w:r>
            <w:r w:rsidR="0093716A">
              <w:t xml:space="preserve">ек, 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819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93716A" w:rsidP="0093716A">
            <w:r>
              <w:t>10</w:t>
            </w:r>
            <w:r w:rsidR="00972C32">
              <w:t>00</w:t>
            </w:r>
            <w:r w:rsidR="00727784" w:rsidRPr="00E701DE">
              <w:t xml:space="preserve"> руб.</w:t>
            </w:r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21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Наименование работы (услуг)</w:t>
            </w:r>
          </w:p>
        </w:tc>
        <w:tc>
          <w:tcPr>
            <w:tcW w:w="4247" w:type="dxa"/>
          </w:tcPr>
          <w:p w:rsidR="00972C32" w:rsidRDefault="00972C32" w:rsidP="000F59B3">
            <w:r>
              <w:t>Закраска надписей и рисунков на фасаде</w:t>
            </w:r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22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72C32" w:rsidRDefault="0093716A" w:rsidP="0093716A">
            <w:r>
              <w:t>16</w:t>
            </w:r>
            <w:r w:rsidR="00972C32">
              <w:t xml:space="preserve">00 </w:t>
            </w:r>
            <w:proofErr w:type="spellStart"/>
            <w:r w:rsidR="00972C32">
              <w:t>руб</w:t>
            </w:r>
            <w:proofErr w:type="spellEnd"/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5EF3"/>
    <w:rsid w:val="00060618"/>
    <w:rsid w:val="0008476A"/>
    <w:rsid w:val="00093BFE"/>
    <w:rsid w:val="00095798"/>
    <w:rsid w:val="000B16F2"/>
    <w:rsid w:val="000D3593"/>
    <w:rsid w:val="00101CBB"/>
    <w:rsid w:val="00143C59"/>
    <w:rsid w:val="00145476"/>
    <w:rsid w:val="00155117"/>
    <w:rsid w:val="001C6B00"/>
    <w:rsid w:val="001D0EA9"/>
    <w:rsid w:val="00204C37"/>
    <w:rsid w:val="00226566"/>
    <w:rsid w:val="00274BBB"/>
    <w:rsid w:val="00275101"/>
    <w:rsid w:val="002A4A97"/>
    <w:rsid w:val="002B3796"/>
    <w:rsid w:val="002D1123"/>
    <w:rsid w:val="002E43E7"/>
    <w:rsid w:val="003463B2"/>
    <w:rsid w:val="00375672"/>
    <w:rsid w:val="003C3C31"/>
    <w:rsid w:val="003C617F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F7C1B"/>
    <w:rsid w:val="00613536"/>
    <w:rsid w:val="00622230"/>
    <w:rsid w:val="00641684"/>
    <w:rsid w:val="006534D8"/>
    <w:rsid w:val="00674497"/>
    <w:rsid w:val="006918B9"/>
    <w:rsid w:val="006E4167"/>
    <w:rsid w:val="006F3AFF"/>
    <w:rsid w:val="00725291"/>
    <w:rsid w:val="00727784"/>
    <w:rsid w:val="0079053B"/>
    <w:rsid w:val="007A16CE"/>
    <w:rsid w:val="007C35B6"/>
    <w:rsid w:val="007C518C"/>
    <w:rsid w:val="007E5D6A"/>
    <w:rsid w:val="00806350"/>
    <w:rsid w:val="008135F0"/>
    <w:rsid w:val="008245BC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3716A"/>
    <w:rsid w:val="00972C32"/>
    <w:rsid w:val="00993832"/>
    <w:rsid w:val="00996E91"/>
    <w:rsid w:val="009B6DDF"/>
    <w:rsid w:val="00A12922"/>
    <w:rsid w:val="00A42B56"/>
    <w:rsid w:val="00A52667"/>
    <w:rsid w:val="00A53957"/>
    <w:rsid w:val="00A56F34"/>
    <w:rsid w:val="00AF120C"/>
    <w:rsid w:val="00AF461D"/>
    <w:rsid w:val="00B64021"/>
    <w:rsid w:val="00B75D09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701DE"/>
    <w:rsid w:val="00E85D57"/>
    <w:rsid w:val="00EA2D8D"/>
    <w:rsid w:val="00EC52A8"/>
    <w:rsid w:val="00F1327E"/>
    <w:rsid w:val="00F233B1"/>
    <w:rsid w:val="00F24D9D"/>
    <w:rsid w:val="00F43B7C"/>
    <w:rsid w:val="00F445AB"/>
    <w:rsid w:val="00F609A5"/>
    <w:rsid w:val="00F6521C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6C38"/>
  <w15:docId w15:val="{D5A4CCD6-299C-4438-8BCA-7129D3F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996E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2020-03-23T07:02:00Z</cp:lastPrinted>
  <dcterms:created xsi:type="dcterms:W3CDTF">2017-12-21T09:48:00Z</dcterms:created>
  <dcterms:modified xsi:type="dcterms:W3CDTF">2020-03-23T07:02:00Z</dcterms:modified>
</cp:coreProperties>
</file>